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F206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t>31139</w:t>
            </w:r>
          </w:p>
        </w:tc>
      </w:tr>
      <w:tr w:rsidR="000F206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t>JAVNA VATROGASNA POSTROJBA GRADA RIJEKE</w:t>
            </w:r>
          </w:p>
        </w:tc>
      </w:tr>
      <w:tr w:rsidR="000F206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F206B" w:rsidRDefault="00E433ED">
            <w:pPr>
              <w:spacing w:after="0" w:line="240" w:lineRule="auto"/>
            </w:pPr>
            <w:r>
              <w:t>31</w:t>
            </w:r>
          </w:p>
        </w:tc>
      </w:tr>
    </w:tbl>
    <w:p w:rsidR="000F206B" w:rsidRDefault="00E433ED">
      <w:r>
        <w:br/>
      </w:r>
    </w:p>
    <w:p w:rsidR="000F206B" w:rsidRDefault="00E433E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F206B" w:rsidRDefault="00E433E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F206B" w:rsidRDefault="00E433E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5.230.251,90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6.660.334,29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5.784.042,89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5.802.326,07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858.008,22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110.565,69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816.581,35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738,5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104.980,69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816.581,35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777,8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41.426,87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Prihodi poslovanja (6) u razdoblju </w:t>
      </w:r>
      <w:proofErr w:type="gramStart"/>
      <w:r>
        <w:t>od</w:t>
      </w:r>
      <w:proofErr w:type="gramEnd"/>
      <w:r>
        <w:t xml:space="preserve"> 1. </w:t>
      </w:r>
      <w:proofErr w:type="gramStart"/>
      <w:r>
        <w:t>siječnja</w:t>
      </w:r>
      <w:proofErr w:type="gramEnd"/>
      <w:r>
        <w:t xml:space="preserve"> –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iznose 6.660.334,29 eura i ostvareni su uglavnom s osnova prihoda iz proračuna (67) 5.422.744,93 eura (81% ukupnih prihoda) i prihoda po posebnim propisima (65) 967.284,98 eura (15% ukupnih prihoda). Prihodi </w:t>
      </w:r>
      <w:proofErr w:type="gramStart"/>
      <w:r>
        <w:t>od</w:t>
      </w:r>
      <w:proofErr w:type="gramEnd"/>
      <w:r>
        <w:t xml:space="preserve"> pruženih usluga, prihodi od donacija (66) u iznosu od 270.230,00 eura čine 4% ukupnih prihoda. </w:t>
      </w:r>
      <w:r>
        <w:lastRenderedPageBreak/>
        <w:t>Prihodi od kazna (68), upravnih mjera iznose 74</w:t>
      </w:r>
      <w:proofErr w:type="gramStart"/>
      <w:r>
        <w:t>,38</w:t>
      </w:r>
      <w:proofErr w:type="gramEnd"/>
      <w:r>
        <w:t xml:space="preserve"> eura. Ukupni rashodi i izdaci su ostvareni u iznosu 6.618.907</w:t>
      </w:r>
      <w:proofErr w:type="gramStart"/>
      <w:r>
        <w:t>,42</w:t>
      </w:r>
      <w:proofErr w:type="gramEnd"/>
      <w:r>
        <w:t xml:space="preserve"> eura i bilježe porast od 12,3%. Rashodi poslovanja su utrošeni približno </w:t>
      </w:r>
      <w:proofErr w:type="gramStart"/>
      <w:r>
        <w:t>na</w:t>
      </w:r>
      <w:proofErr w:type="gramEnd"/>
      <w:r>
        <w:t xml:space="preserve"> razini prethodne godine dok su rashodi za nabavu nefinancijske imovine značajno uvećani temeljem ulaganja u vatrogasna vozila za djelatnost Postrojbe. Preneseni manjak prihoda i primitaka iz prethodne godine iskazan je u iznosu </w:t>
      </w:r>
      <w:proofErr w:type="gramStart"/>
      <w:r>
        <w:t>od</w:t>
      </w:r>
      <w:proofErr w:type="gramEnd"/>
      <w:r>
        <w:t xml:space="preserve"> 318.329,10 eura. Početno stanje financijskog rezultata 2025. </w:t>
      </w:r>
      <w:proofErr w:type="gramStart"/>
      <w:r>
        <w:t>godine</w:t>
      </w:r>
      <w:proofErr w:type="gramEnd"/>
      <w:r>
        <w:t xml:space="preserve"> (preneseno iz 2024. godine) korigirano je u skladu s Odlukom o raspodjeli rezultata poslovanja za 2024. </w:t>
      </w:r>
      <w:proofErr w:type="gramStart"/>
      <w:r>
        <w:t>godinu</w:t>
      </w:r>
      <w:proofErr w:type="gramEnd"/>
      <w:r>
        <w:t xml:space="preserve">, donesene 13. </w:t>
      </w:r>
      <w:proofErr w:type="gramStart"/>
      <w:r>
        <w:t>lipnja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. Odlukom je izmijenjena struktura izvora financiranja unutar kategorija prenesenog manjka. U izvještajnom razdoblju ostvaren je tekući višak prihoda i primitaka u iznosu 41.426,87 eura. Slijedom navedenog proizlazi manjak prihoda i primitaka za pokriće u sljedećem razdoblju u iznosu </w:t>
      </w:r>
      <w:proofErr w:type="gramStart"/>
      <w:r>
        <w:t>od</w:t>
      </w:r>
      <w:proofErr w:type="gramEnd"/>
      <w:r>
        <w:t xml:space="preserve"> 276.902,23 eura.</w:t>
      </w:r>
    </w:p>
    <w:p w:rsidR="000F206B" w:rsidRDefault="00E433ED">
      <w:r>
        <w:t> </w:t>
      </w:r>
      <w:r>
        <w:br/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842.346,71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967.284,98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Prihodi po posebnim propisima odnose se </w:t>
      </w:r>
      <w:proofErr w:type="gramStart"/>
      <w:r>
        <w:t>na</w:t>
      </w:r>
      <w:proofErr w:type="gramEnd"/>
      <w:r>
        <w:t xml:space="preserve"> uplaćena sredstva temeljem Ugovora o financiranju vatrogasne djelatnosti i aktivnosti dobrovoljnih vatrogasnih društava i Gradske vatrogasne zajednice Rijeka te opremanje njezinih članica u 2025. </w:t>
      </w:r>
      <w:proofErr w:type="gramStart"/>
      <w:r>
        <w:t>godini</w:t>
      </w:r>
      <w:proofErr w:type="gramEnd"/>
      <w:r>
        <w:t xml:space="preserve">, sukladno članku 110. </w:t>
      </w:r>
      <w:proofErr w:type="gramStart"/>
      <w:r>
        <w:t>i</w:t>
      </w:r>
      <w:proofErr w:type="gramEnd"/>
      <w:r>
        <w:t xml:space="preserve"> članku 111. Zakona o vatrogastvu („Narodne novine</w:t>
      </w:r>
      <w:proofErr w:type="gramStart"/>
      <w:r>
        <w:t>“ broj</w:t>
      </w:r>
      <w:proofErr w:type="gramEnd"/>
      <w:r>
        <w:t xml:space="preserve"> 125/19, 114/22, 155/23). Prihodi s naslova osiguranja, refundacije štete i totalne štete odnose se </w:t>
      </w:r>
      <w:proofErr w:type="gramStart"/>
      <w:r>
        <w:t>na</w:t>
      </w:r>
      <w:proofErr w:type="gramEnd"/>
      <w:r>
        <w:t xml:space="preserve"> isplaćene odštetne zahtjeve osiguravajućih društava.</w:t>
      </w:r>
    </w:p>
    <w:p w:rsidR="000F206B" w:rsidRDefault="00E433ED">
      <w:r>
        <w:t> 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270.230,00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244,4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Prihodi od prodaje proizvoda i robe te pruženih usluga i prihodi od donacija odnose se na prihode od pruženih usluga vatrogasne djelatnosti prema drugim pravnim subjektima te od prihoda kapitalne donacije Vatrogasne zajednice Primorsko-goranske županije za nabavu vatrogasnih vozila za požarno područje – PRIMORJE I.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4.982.228,41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5.090.473,56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Rashodi za zaposlene s osnove plaća i pripadajućih doprinosa, te drugih potpora, naknada i nagrada iznose 5.090.473</w:t>
      </w:r>
      <w:proofErr w:type="gramStart"/>
      <w:r>
        <w:t>,56</w:t>
      </w:r>
      <w:proofErr w:type="gramEnd"/>
      <w:r>
        <w:t xml:space="preserve"> eura te su ostvareni na približnoj razini prethodne godine. Najveći porast u podskupini bilježi se </w:t>
      </w:r>
      <w:proofErr w:type="gramStart"/>
      <w:r>
        <w:t>na</w:t>
      </w:r>
      <w:proofErr w:type="gramEnd"/>
      <w:r>
        <w:t xml:space="preserve"> plaćama za posebne uvjete rada (3114) sukladno dodatku III. Kolektivog ugovora kojim se rad noću uvećava za 50% </w:t>
      </w:r>
      <w:proofErr w:type="gramStart"/>
      <w:r>
        <w:t>od</w:t>
      </w:r>
      <w:proofErr w:type="gramEnd"/>
      <w:r>
        <w:t xml:space="preserve"> rujna 2025. </w:t>
      </w:r>
      <w:proofErr w:type="gramStart"/>
      <w:r>
        <w:t>godine</w:t>
      </w:r>
      <w:proofErr w:type="gramEnd"/>
      <w:r>
        <w:t xml:space="preserve">. Također se bilježi porast </w:t>
      </w:r>
      <w:proofErr w:type="gramStart"/>
      <w:r>
        <w:t>na</w:t>
      </w:r>
      <w:proofErr w:type="gramEnd"/>
      <w:r>
        <w:t xml:space="preserve"> plaćama za redovan rad (3111) budući da je od srpnja 2025. </w:t>
      </w:r>
      <w:proofErr w:type="gramStart"/>
      <w:r>
        <w:t>na</w:t>
      </w:r>
      <w:proofErr w:type="gramEnd"/>
      <w:r>
        <w:t xml:space="preserve"> snagu stupio Pravilnik o izmjenama i dopunama Pravilnika o unutarnjem ustrojstvu i načinu rada u Javnoj vatrogasnoj postrojbi Grada Rijeke čime su, između ostalog, povećani koeficijenti za određena radna mjesta. U ovom izvještajnom razdoblju došlo je do povećanja osnovice plaće za 3% sukladno Odluci o visini osnovice za obračun plaće u javnim službama u 2025. </w:t>
      </w:r>
      <w:proofErr w:type="gramStart"/>
      <w:r>
        <w:t>godini</w:t>
      </w:r>
      <w:proofErr w:type="gramEnd"/>
      <w:r>
        <w:t>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794.030,77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709.407,33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Materijalni rashodi su na ukupnoj razini manji za 10</w:t>
      </w:r>
      <w:proofErr w:type="gramStart"/>
      <w:r>
        <w:t>,7</w:t>
      </w:r>
      <w:proofErr w:type="gramEnd"/>
      <w:r>
        <w:t xml:space="preserve"> % u odnosu na prethodnu godinu. Porast </w:t>
      </w:r>
      <w:proofErr w:type="gramStart"/>
      <w:r>
        <w:t>od</w:t>
      </w:r>
      <w:proofErr w:type="gramEnd"/>
      <w:r>
        <w:t xml:space="preserve"> 20% se bilježi na naknadama za prijevoz za rad na terenu i odvojeni život (3212) te rashodima za materijal i sirovine (3221) radi nabave pjenila za gašenje požara, absorbera i sredstava za gašenje.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556,0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Povećanje se bilježi </w:t>
      </w:r>
      <w:proofErr w:type="gramStart"/>
      <w:r>
        <w:t>na</w:t>
      </w:r>
      <w:proofErr w:type="gramEnd"/>
      <w:r>
        <w:t xml:space="preserve"> intelektualnim i osobnim uslugama zbog izrade plana evakuacije.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46.756,82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59.342,27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Ostale usluge bilježe povećanje zbog porasta mjesečne cijene čišćenja prostorija i izrade reflektirajućih naljepnica kojima se osigurava visoka vidljivost, a time i sigurnost u radnim uvjetima.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21.591,45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28.730,89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0F206B" w:rsidRDefault="000F206B">
      <w:pPr>
        <w:spacing w:after="0"/>
      </w:pPr>
    </w:p>
    <w:p w:rsidR="000F206B" w:rsidRDefault="00E433ED">
      <w:r>
        <w:t>U ovom izvještajnom razdoblju znatno su povećani troškovi za premije osiguranja prijevoznih sredstava.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108.702,24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95.885,35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Postrojenja i oprema bilježe pad u dijelu rashoda za komunikacijsku opremu, opremu za održavanje i zaštitu </w:t>
      </w:r>
      <w:proofErr w:type="gramStart"/>
      <w:r>
        <w:t>te</w:t>
      </w:r>
      <w:proofErr w:type="gramEnd"/>
      <w:r>
        <w:t xml:space="preserve"> na rashodima instrumenti i uređaji.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492,7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Povećanje se bilježi </w:t>
      </w:r>
      <w:proofErr w:type="gramStart"/>
      <w:r>
        <w:t>na</w:t>
      </w:r>
      <w:proofErr w:type="gramEnd"/>
      <w:r>
        <w:t xml:space="preserve"> rahodima uredska oprema i namještaj u svrhu nabave računalne opreme i konferencijskih stolica. 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16.633,74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4386,0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Povećanje bilježe ovi rashodi zbog nabave opreme za ostale namjene i to profesionalne perlice za rublje, punjača za akumulatore s pripadajućom opremom </w:t>
      </w:r>
      <w:proofErr w:type="gramStart"/>
      <w:r>
        <w:t>te</w:t>
      </w:r>
      <w:proofErr w:type="gramEnd"/>
      <w:r>
        <w:t xml:space="preserve"> reflektora s retovizorima.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717.637,50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Provedene su javne nabave za dva zapovjedna vatrogasna vozila, jedno vatrogasno vozilo za prijevoz vatrogasaca i opreme </w:t>
      </w:r>
      <w:proofErr w:type="gramStart"/>
      <w:r>
        <w:t>te</w:t>
      </w:r>
      <w:proofErr w:type="gramEnd"/>
      <w:r>
        <w:t xml:space="preserve"> dva vatrogasna šumska vozila za potrebe Javne vatrogasne postrojbe Grada Rijeke. Nakon provedenih javnih nabava, za isporuku vatrogasnog vozila za prijevoz vatrogasaca i opreme izabrana je ponuda tvrtke M.G.S Grupa d.o.o. u vrijednosti 58.437,50 eura. Navedeno vozilo isporučeno je u ožujku 2025. </w:t>
      </w:r>
      <w:proofErr w:type="gramStart"/>
      <w:r>
        <w:t>godine</w:t>
      </w:r>
      <w:proofErr w:type="gramEnd"/>
      <w:r>
        <w:t xml:space="preserve">, a sredstva su osigurana iz viška poslovanja. Za nabavu zapovjednih vatrogasnih vozila odabrana je ponuda tvrtke P.S.C. Primorje d.o.o. u ukupnom iznosu 61.700,00 eura. Navedena dva vozila isporučena su Javnoj vatrogasnoj postrojbi Grada Rijeke u svibnju 2025. </w:t>
      </w:r>
      <w:proofErr w:type="gramStart"/>
      <w:r>
        <w:t>godine</w:t>
      </w:r>
      <w:proofErr w:type="gramEnd"/>
      <w:r>
        <w:t xml:space="preserve">. Za nabavu vatrogasnih šumskih vozila odabrana je ponuda tvrtke Ziegler d.o.o. u ukupnom iznosu </w:t>
      </w:r>
      <w:proofErr w:type="gramStart"/>
      <w:r>
        <w:t>od</w:t>
      </w:r>
      <w:proofErr w:type="gramEnd"/>
      <w:r>
        <w:t xml:space="preserve"> 597.500,00 eura od kojih je 132.500,00 eura sufinancirala Vatrogasna zajednica Primorsko-goranske županije sukladno Ugovoru o kapitalnoj donaciji. Navedena dva vozila isporučena su Javnoj vatrogasnoj postrojbi Grada Rijeke u listopadu 2025. </w:t>
      </w:r>
      <w:proofErr w:type="gramStart"/>
      <w:r>
        <w:t>godine</w:t>
      </w:r>
      <w:proofErr w:type="gramEnd"/>
      <w:r>
        <w:t>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318.329,10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276.902,23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Preneseni manjak prihoda i primitaka iz prethodne godine iskazan je u iznosu </w:t>
      </w:r>
      <w:proofErr w:type="gramStart"/>
      <w:r>
        <w:t>od</w:t>
      </w:r>
      <w:proofErr w:type="gramEnd"/>
      <w:r>
        <w:t xml:space="preserve"> 318.329,10 eura. Početno stanje financijskog rezultata 2025. </w:t>
      </w:r>
      <w:proofErr w:type="gramStart"/>
      <w:r>
        <w:t>godine</w:t>
      </w:r>
      <w:proofErr w:type="gramEnd"/>
      <w:r>
        <w:t xml:space="preserve"> (preneseno iz 2024. godine) korigirano je u skladu s Odlukom o raspodjeli rezultata poslovanja za 2024. </w:t>
      </w:r>
      <w:proofErr w:type="gramStart"/>
      <w:r>
        <w:t>godinu</w:t>
      </w:r>
      <w:proofErr w:type="gramEnd"/>
      <w:r>
        <w:t xml:space="preserve">, donesene 13. </w:t>
      </w:r>
      <w:proofErr w:type="gramStart"/>
      <w:r>
        <w:t>lipnja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. Odlukom je izmijenjena struktura izvora financiranja unutar kategorija prenesenog manjka. </w:t>
      </w:r>
      <w:r>
        <w:lastRenderedPageBreak/>
        <w:t xml:space="preserve">U izvještajnom razdoblju ostvaren je tekući višak prihoda i primitaka u iznosu 41.426,87 eura. Slijedom navedenog proizlazi manjak prihoda i primitaka za pokriće u sljedećem razdoblju u iznosu </w:t>
      </w:r>
      <w:proofErr w:type="gramStart"/>
      <w:r>
        <w:t>od</w:t>
      </w:r>
      <w:proofErr w:type="gramEnd"/>
      <w:r>
        <w:t xml:space="preserve"> 276.902,23 eura.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Stanje novčanih sredstava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prosincu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na računu 11 nisu zabilježena budući da se poslovanje obavlja preko jedinstvenog računa riznice. Potraživanja za prihode iz proračuna (podskupina 167) iznose 207.729,43 eura i predstavljaju sredstva koja proračunski korisnik ima </w:t>
      </w:r>
      <w:proofErr w:type="gramStart"/>
      <w:r>
        <w:t>na</w:t>
      </w:r>
      <w:proofErr w:type="gramEnd"/>
      <w:r>
        <w:t xml:space="preserve"> raspolaganju za poslovanje.</w:t>
      </w:r>
    </w:p>
    <w:p w:rsidR="000F206B" w:rsidRDefault="00E433ED">
      <w:r>
        <w:t>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1.814.799,85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2.515.091,97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138,6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Stanje ukupne imovine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bilježi povećanje za 38,6% u odnosu na iskazano stanje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>. Udio nefinancijske imovine u ukupnoj aktivi iznosi 89</w:t>
      </w:r>
      <w:proofErr w:type="gramStart"/>
      <w:r>
        <w:t>,4</w:t>
      </w:r>
      <w:proofErr w:type="gramEnd"/>
      <w:r>
        <w:t>%, dok financijska imovina u ukupnoj aktivi JVP-a Grada Rijeke participira udjelom od 10,6%.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1.329.415,69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1.308.518,31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Neproizvedena dugotrajna imovina bilježi nematerijalnu imovinu kao ulaganje </w:t>
      </w:r>
      <w:proofErr w:type="gramStart"/>
      <w:r>
        <w:t>na</w:t>
      </w:r>
      <w:proofErr w:type="gramEnd"/>
      <w:r>
        <w:t xml:space="preserve"> tuđoj imovini radi prava korištenja za objekte VP Centar i VP Vežica, a usporedno s time i njihov ispravak </w:t>
      </w:r>
      <w:r>
        <w:lastRenderedPageBreak/>
        <w:t xml:space="preserve">vrijednosti. Ulaganje u nematerijalnu imovinu u 2025. </w:t>
      </w:r>
      <w:proofErr w:type="gramStart"/>
      <w:r>
        <w:t>godini</w:t>
      </w:r>
      <w:proofErr w:type="gramEnd"/>
      <w:r>
        <w:t xml:space="preserve"> bilježi nabavu licenci u iznosu 3.058,50 eura.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33.706,32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699.318,32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2074,7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U cilju unaprjeđenja operativne sposobnosti i učinkovitosti intervencija Javne vatrogasne postrojbe Grada Rijeke, u 2025. </w:t>
      </w:r>
      <w:proofErr w:type="gramStart"/>
      <w:r>
        <w:t>godini</w:t>
      </w:r>
      <w:proofErr w:type="gramEnd"/>
      <w:r>
        <w:t xml:space="preserve"> se pristupilo nabavi ukupno 5 novih vatrogasnih vozila. Nabavljeno je vatrogasno vozilo za prijevoz vatrogasaca i opreme, dva vatrogasna zapovjedna vozila, </w:t>
      </w:r>
      <w:proofErr w:type="gramStart"/>
      <w:r>
        <w:t>te</w:t>
      </w:r>
      <w:proofErr w:type="gramEnd"/>
      <w:r>
        <w:t xml:space="preserve"> dva vatrogasna šumska vozila. Očekuje se isporuka još 4 vatrogasna vozila tijekom 2026. </w:t>
      </w:r>
      <w:proofErr w:type="gramStart"/>
      <w:r>
        <w:t>godine</w:t>
      </w:r>
      <w:proofErr w:type="gramEnd"/>
      <w:r>
        <w:t>, sukladno provedenom postupku javne nabave.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243.596,01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265.659,19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Vrijednost financijske imovine na ukupnoj razini je nešto veća za 9</w:t>
      </w:r>
      <w:proofErr w:type="gramStart"/>
      <w:r>
        <w:t>,1</w:t>
      </w:r>
      <w:proofErr w:type="gramEnd"/>
      <w:r>
        <w:t>% u odnosu na stanje iskazano na početku promatranog razdoblja.</w:t>
      </w:r>
    </w:p>
    <w:p w:rsidR="000F206B" w:rsidRDefault="00E433ED">
      <w:pPr>
        <w:jc w:val="both"/>
      </w:pPr>
      <w:r>
        <w:t xml:space="preserve">Novčana sredstva </w:t>
      </w:r>
      <w:proofErr w:type="gramStart"/>
      <w:r>
        <w:t>na</w:t>
      </w:r>
      <w:proofErr w:type="gramEnd"/>
      <w:r>
        <w:t xml:space="preserve"> vlastitom žiro računu i blagajni (11) nisu zabilježena u ovom razdoblju budući da se poslovanje obavlja preko jedinstvenog računa riznice. Depoziti, jamčevni polozi i potraživanja </w:t>
      </w:r>
      <w:proofErr w:type="gramStart"/>
      <w:r>
        <w:t>od</w:t>
      </w:r>
      <w:proofErr w:type="gramEnd"/>
      <w:r>
        <w:t xml:space="preserve"> zaposlenih (12) značajno su veća u odnosu na 1. </w:t>
      </w:r>
      <w:proofErr w:type="gramStart"/>
      <w:r>
        <w:t>siječnja</w:t>
      </w:r>
      <w:proofErr w:type="gramEnd"/>
      <w:r>
        <w:t>, a odnose se na potraživanja za naknade koje se refundiraju: povrat sredstava HZZO-a za trošak bolovanja zaposlenika i potraživanja od zaposlenih.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240.724,93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250.723,24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Potraživanja za prihode poslovanja najvećim dijelom čine sljedeća: potraživanja za sredstva uplaćena u nadležni proračun (167) i iznose 207.729,43 eura te čine 82,9% ukupnog iznosa, a </w:t>
      </w:r>
      <w:r>
        <w:lastRenderedPageBreak/>
        <w:t>nastala su naplatom vlastitih prihoda korisnika na jedinstveni račun riznice (sredstva će biti utrošena u 2026. godini u svrhu plaćanja obveza prema dobavljačima), zatim potraživanja za prihode po posebnim propisima (165) u iznosu od 27.271,19 eura i potraživanja za prihode od pruženih usluga (166), koja JVP Grada Rijeke ostvaruje svojim poslovanjem na tržištu i iznose 15.695,06 eura.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-318.329,10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-276.902,23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Preneseni manjak prihoda i primitaka iz prethodne godine iskazan je u iznosu </w:t>
      </w:r>
      <w:proofErr w:type="gramStart"/>
      <w:r>
        <w:t>od</w:t>
      </w:r>
      <w:proofErr w:type="gramEnd"/>
      <w:r>
        <w:t xml:space="preserve"> - 318.329,10 eura.</w:t>
      </w:r>
    </w:p>
    <w:p w:rsidR="000F206B" w:rsidRDefault="00E433ED">
      <w:pPr>
        <w:jc w:val="both"/>
      </w:pPr>
      <w:r>
        <w:t>U izvještajnom razdoblju ostvaren je tekući višak prihoda i iznosi 41.426,87 eura, proizašao iz:</w:t>
      </w:r>
    </w:p>
    <w:p w:rsidR="000F206B" w:rsidRDefault="00E433ED">
      <w:r>
        <w:t xml:space="preserve">·        </w:t>
      </w:r>
      <w:proofErr w:type="gramStart"/>
      <w:r>
        <w:t>viška</w:t>
      </w:r>
      <w:proofErr w:type="gramEnd"/>
      <w:r>
        <w:t xml:space="preserve"> prihoda poslovanja (X001 PR-RAS)                                       858.008,22 eura</w:t>
      </w:r>
    </w:p>
    <w:p w:rsidR="000F206B" w:rsidRDefault="00E433ED">
      <w:r>
        <w:t>·        </w:t>
      </w:r>
      <w:proofErr w:type="gramStart"/>
      <w:r>
        <w:t>manjka</w:t>
      </w:r>
      <w:proofErr w:type="gramEnd"/>
      <w:r>
        <w:t xml:space="preserve"> prihoda od nefinancijske imovine (Y002 PR-RAS)          - 816.581,35 eura</w:t>
      </w:r>
    </w:p>
    <w:p w:rsidR="000F206B" w:rsidRDefault="00E433ED">
      <w:pPr>
        <w:jc w:val="both"/>
      </w:pPr>
      <w:r>
        <w:t xml:space="preserve">Na kraju izvještajne 2025. </w:t>
      </w:r>
      <w:proofErr w:type="gramStart"/>
      <w:r>
        <w:t>godine</w:t>
      </w:r>
      <w:proofErr w:type="gramEnd"/>
      <w:r>
        <w:t xml:space="preserve"> utvrđen je manjak prihoda i primitaka za pokriće u sljedećem razdoblju u ukupnom iznosu od -</w:t>
      </w:r>
      <w:r>
        <w:rPr>
          <w:b/>
        </w:rPr>
        <w:t xml:space="preserve"> </w:t>
      </w:r>
      <w:r>
        <w:t xml:space="preserve">276.902,23 eura koji se sastoji, nakon prebijanja viškova i manjkova istih kategorija aktivnosti u skladu s člankom 215. Pravilnika o proračunskom računovodstvu i Računskom planu </w:t>
      </w:r>
      <w:proofErr w:type="gramStart"/>
      <w:r>
        <w:t>od</w:t>
      </w:r>
      <w:proofErr w:type="gramEnd"/>
      <w:r>
        <w:t>:</w:t>
      </w:r>
    </w:p>
    <w:p w:rsidR="000F206B" w:rsidRDefault="00E433ED">
      <w:r>
        <w:t xml:space="preserve">·        </w:t>
      </w:r>
      <w:proofErr w:type="gramStart"/>
      <w:r>
        <w:t>viška</w:t>
      </w:r>
      <w:proofErr w:type="gramEnd"/>
      <w:r>
        <w:t xml:space="preserve"> prihoda poslovanja                                                                   154.706,41 eura </w:t>
      </w:r>
    </w:p>
    <w:p w:rsidR="000F206B" w:rsidRDefault="00E433ED">
      <w:r>
        <w:t>·        </w:t>
      </w:r>
      <w:proofErr w:type="gramStart"/>
      <w:r>
        <w:t>manjka</w:t>
      </w:r>
      <w:proofErr w:type="gramEnd"/>
      <w:r>
        <w:t xml:space="preserve"> prihoda od nefinancijske imovine                                      - 431.608,64 eura </w:t>
      </w:r>
    </w:p>
    <w:p w:rsidR="000F206B" w:rsidRDefault="000F206B"/>
    <w:p w:rsidR="006D6C88" w:rsidRPr="006D6C88" w:rsidRDefault="006D6C88" w:rsidP="006D6C88">
      <w:pPr>
        <w:keepNext/>
        <w:spacing w:line="240" w:lineRule="auto"/>
        <w:jc w:val="center"/>
        <w:rPr>
          <w:sz w:val="28"/>
        </w:rPr>
      </w:pPr>
      <w:r w:rsidRPr="006D6C88">
        <w:rPr>
          <w:sz w:val="28"/>
        </w:rPr>
        <w:t xml:space="preserve">Pregled ostalih ugovornih odnosa </w:t>
      </w:r>
    </w:p>
    <w:p w:rsidR="006D6C88" w:rsidRPr="00013C46" w:rsidRDefault="006D6C88" w:rsidP="006D6C88">
      <w:pPr>
        <w:tabs>
          <w:tab w:val="left" w:pos="284"/>
          <w:tab w:val="left" w:pos="567"/>
          <w:tab w:val="left" w:pos="851"/>
        </w:tabs>
        <w:jc w:val="both"/>
        <w:rPr>
          <w:rFonts w:cs="Arial"/>
          <w:b/>
          <w:szCs w:val="22"/>
        </w:rPr>
      </w:pPr>
      <w:r w:rsidRPr="00013C46">
        <w:rPr>
          <w:rFonts w:cs="Arial"/>
          <w:b/>
          <w:szCs w:val="22"/>
        </w:rPr>
        <w:t xml:space="preserve">Sudski sporovi u tijeku </w:t>
      </w:r>
    </w:p>
    <w:p w:rsidR="006D6C88" w:rsidRDefault="006D6C88" w:rsidP="006D6C88">
      <w:pPr>
        <w:jc w:val="both"/>
        <w:rPr>
          <w:rFonts w:cs="Arial"/>
          <w:szCs w:val="22"/>
        </w:rPr>
      </w:pPr>
      <w:r w:rsidRPr="007F0E49">
        <w:rPr>
          <w:rFonts w:cs="Arial"/>
          <w:szCs w:val="22"/>
        </w:rPr>
        <w:t>Prema podacima službene evidencije o sudskim sporovima u kojima je</w:t>
      </w:r>
      <w:r>
        <w:rPr>
          <w:rFonts w:cs="Arial"/>
          <w:szCs w:val="22"/>
        </w:rPr>
        <w:t xml:space="preserve"> JVP </w:t>
      </w:r>
      <w:r w:rsidRPr="007F0E49">
        <w:rPr>
          <w:rFonts w:cs="Arial"/>
          <w:szCs w:val="22"/>
        </w:rPr>
        <w:t>Grad</w:t>
      </w:r>
      <w:r>
        <w:rPr>
          <w:rFonts w:cs="Arial"/>
          <w:szCs w:val="22"/>
        </w:rPr>
        <w:t>a Rijeke</w:t>
      </w:r>
      <w:r w:rsidRPr="007F0E49">
        <w:rPr>
          <w:rFonts w:cs="Arial"/>
          <w:szCs w:val="22"/>
        </w:rPr>
        <w:t xml:space="preserve"> jedna </w:t>
      </w:r>
      <w:proofErr w:type="gramStart"/>
      <w:r w:rsidRPr="007F0E49">
        <w:rPr>
          <w:rFonts w:cs="Arial"/>
          <w:szCs w:val="22"/>
        </w:rPr>
        <w:t>od</w:t>
      </w:r>
      <w:proofErr w:type="gramEnd"/>
      <w:r w:rsidRPr="007F0E49">
        <w:rPr>
          <w:rFonts w:cs="Arial"/>
          <w:szCs w:val="22"/>
        </w:rPr>
        <w:t xml:space="preserve"> stranaka, a za potrebe iskazivanja podatka u izvanbilančnoj evidenciji i u ovim Bilj</w:t>
      </w:r>
      <w:r>
        <w:rPr>
          <w:rFonts w:cs="Arial"/>
          <w:szCs w:val="22"/>
        </w:rPr>
        <w:t xml:space="preserve">eškama, na dan 31. </w:t>
      </w:r>
      <w:proofErr w:type="gramStart"/>
      <w:r>
        <w:rPr>
          <w:rFonts w:cs="Arial"/>
          <w:szCs w:val="22"/>
        </w:rPr>
        <w:t>prosinca</w:t>
      </w:r>
      <w:proofErr w:type="gramEnd"/>
      <w:r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., </w:t>
      </w:r>
      <w:r w:rsidRPr="007F0E49">
        <w:rPr>
          <w:rFonts w:cs="Arial"/>
          <w:szCs w:val="22"/>
        </w:rPr>
        <w:t>u ulozi tuženika vodi</w:t>
      </w:r>
      <w:r>
        <w:rPr>
          <w:rFonts w:cs="Arial"/>
          <w:szCs w:val="22"/>
        </w:rPr>
        <w:t xml:space="preserve"> jedan </w:t>
      </w:r>
      <w:r w:rsidRPr="007F0E49">
        <w:rPr>
          <w:rFonts w:cs="Arial"/>
          <w:szCs w:val="22"/>
        </w:rPr>
        <w:t xml:space="preserve">sudski spor, vrijednosti </w:t>
      </w:r>
      <w:r w:rsidRPr="007F0E49">
        <w:rPr>
          <w:rFonts w:cs="Arial"/>
          <w:i/>
          <w:szCs w:val="22"/>
        </w:rPr>
        <w:t>potencijalne obveze</w:t>
      </w:r>
      <w:r w:rsidRPr="007F0E49">
        <w:rPr>
          <w:rFonts w:cs="Arial"/>
          <w:szCs w:val="22"/>
        </w:rPr>
        <w:t xml:space="preserve"> u iznosu od </w:t>
      </w:r>
      <w:r w:rsidRPr="00604BC5">
        <w:rPr>
          <w:rFonts w:cs="Arial"/>
          <w:szCs w:val="22"/>
        </w:rPr>
        <w:t>50.000,00 eura.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320"/>
        <w:gridCol w:w="1254"/>
        <w:gridCol w:w="1311"/>
        <w:gridCol w:w="1296"/>
        <w:gridCol w:w="1505"/>
        <w:gridCol w:w="1372"/>
      </w:tblGrid>
      <w:tr w:rsidR="006D6C88" w:rsidTr="00847370">
        <w:trPr>
          <w:trHeight w:val="932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Default="006D6C88" w:rsidP="0084737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Poslovni broj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Sažet opis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Default="006D6C88" w:rsidP="0084737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Iznos glavnice (€)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C88" w:rsidRDefault="006D6C88" w:rsidP="00847370">
            <w:pPr>
              <w:jc w:val="center"/>
              <w:rPr>
                <w:rFonts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Procijenjeno vrijeme odljeva ili priljeva sredstava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6D6C88" w:rsidRDefault="006D6C88" w:rsidP="008473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Početak sudskog spora</w:t>
            </w:r>
          </w:p>
        </w:tc>
      </w:tr>
      <w:tr w:rsidR="006D6C88" w:rsidTr="00847370">
        <w:trPr>
          <w:trHeight w:val="421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Pr="002A64F1" w:rsidRDefault="006D6C88" w:rsidP="0084737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Fizičke osobe u jednom predmetu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Pr="002A64F1" w:rsidRDefault="006D6C88" w:rsidP="0084737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A64F1">
              <w:rPr>
                <w:rFonts w:cs="Arial"/>
                <w:bCs/>
                <w:sz w:val="18"/>
                <w:szCs w:val="18"/>
              </w:rPr>
              <w:t xml:space="preserve">JVP Grada </w:t>
            </w:r>
            <w:r>
              <w:rPr>
                <w:rFonts w:cs="Arial"/>
                <w:bCs/>
                <w:sz w:val="18"/>
                <w:szCs w:val="18"/>
              </w:rPr>
              <w:t xml:space="preserve">      </w:t>
            </w:r>
            <w:r w:rsidRPr="002A64F1">
              <w:rPr>
                <w:rFonts w:cs="Arial"/>
                <w:bCs/>
                <w:sz w:val="18"/>
                <w:szCs w:val="18"/>
              </w:rPr>
              <w:t>Rijeka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C88" w:rsidRPr="004368FD" w:rsidRDefault="006D6C88" w:rsidP="00847370">
            <w:pPr>
              <w:jc w:val="center"/>
              <w:rPr>
                <w:rFonts w:eastAsia="Calibri" w:cs="Arial"/>
                <w:sz w:val="18"/>
                <w:szCs w:val="18"/>
                <w:lang w:eastAsia="hr-HR"/>
              </w:rPr>
            </w:pPr>
            <w:r>
              <w:rPr>
                <w:rFonts w:eastAsia="Calibri" w:cs="Arial"/>
                <w:sz w:val="18"/>
                <w:szCs w:val="18"/>
                <w:lang w:eastAsia="hr-HR"/>
              </w:rPr>
              <w:t>PR-3319/2021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Naknada materijalnih prava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C88" w:rsidRDefault="006D6C88" w:rsidP="00847370">
            <w:pPr>
              <w:jc w:val="center"/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rFonts w:eastAsia="Calibri" w:cs="Arial"/>
                <w:sz w:val="18"/>
                <w:szCs w:val="18"/>
                <w:lang w:eastAsia="hr-HR"/>
              </w:rPr>
            </w:pPr>
          </w:p>
          <w:p w:rsidR="006D6C88" w:rsidRPr="004368FD" w:rsidRDefault="006D6C88" w:rsidP="00847370">
            <w:pPr>
              <w:jc w:val="center"/>
              <w:rPr>
                <w:rFonts w:eastAsia="Calibri" w:cs="Arial"/>
                <w:sz w:val="18"/>
                <w:szCs w:val="18"/>
                <w:lang w:eastAsia="hr-HR"/>
              </w:rPr>
            </w:pPr>
            <w:r>
              <w:rPr>
                <w:rFonts w:eastAsia="Calibri" w:cs="Arial"/>
                <w:sz w:val="18"/>
                <w:szCs w:val="18"/>
                <w:lang w:eastAsia="hr-HR"/>
              </w:rPr>
              <w:t>2 godine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C88" w:rsidRDefault="006D6C88" w:rsidP="00847370">
            <w:pPr>
              <w:jc w:val="center"/>
              <w:rPr>
                <w:rFonts w:cs="Arial"/>
                <w:sz w:val="18"/>
                <w:szCs w:val="18"/>
                <w:lang w:eastAsia="hr-HR"/>
              </w:rPr>
            </w:pPr>
          </w:p>
          <w:p w:rsidR="006D6C88" w:rsidRDefault="006D6C88" w:rsidP="00847370">
            <w:pPr>
              <w:jc w:val="center"/>
              <w:rPr>
                <w:rFonts w:cs="Arial"/>
                <w:sz w:val="18"/>
                <w:szCs w:val="18"/>
                <w:lang w:eastAsia="hr-HR"/>
              </w:rPr>
            </w:pPr>
            <w:r>
              <w:rPr>
                <w:rFonts w:cs="Arial"/>
                <w:sz w:val="18"/>
                <w:szCs w:val="18"/>
                <w:lang w:eastAsia="hr-HR"/>
              </w:rPr>
              <w:t>06/2021</w:t>
            </w:r>
          </w:p>
        </w:tc>
      </w:tr>
    </w:tbl>
    <w:p w:rsidR="006D6C88" w:rsidRDefault="006D6C88" w:rsidP="006D6C88">
      <w:pPr>
        <w:tabs>
          <w:tab w:val="left" w:pos="284"/>
          <w:tab w:val="left" w:pos="567"/>
          <w:tab w:val="left" w:pos="851"/>
        </w:tabs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Instrumenti osiguranja plaćanja </w:t>
      </w:r>
    </w:p>
    <w:p w:rsidR="006D6C88" w:rsidRDefault="006D6C88" w:rsidP="006D6C88">
      <w:pPr>
        <w:jc w:val="both"/>
        <w:rPr>
          <w:rFonts w:cs="Arial"/>
        </w:rPr>
      </w:pPr>
      <w:r>
        <w:rPr>
          <w:rFonts w:cs="Arial"/>
        </w:rPr>
        <w:t xml:space="preserve">Prema analitičkoj evidenciji u poslovnim knjigama JVP Grada Rijeke </w:t>
      </w:r>
      <w:proofErr w:type="gramStart"/>
      <w:r>
        <w:rPr>
          <w:rFonts w:cs="Arial"/>
        </w:rPr>
        <w:t>na</w:t>
      </w:r>
      <w:proofErr w:type="gramEnd"/>
      <w:r>
        <w:rPr>
          <w:rFonts w:cs="Arial"/>
        </w:rPr>
        <w:t xml:space="preserve"> dan 31.12.2025. </w:t>
      </w:r>
      <w:proofErr w:type="gramStart"/>
      <w:r>
        <w:rPr>
          <w:rFonts w:cs="Arial"/>
        </w:rPr>
        <w:t>primio</w:t>
      </w:r>
      <w:proofErr w:type="gramEnd"/>
      <w:r>
        <w:rPr>
          <w:rFonts w:cs="Arial"/>
        </w:rPr>
        <w:t xml:space="preserve"> je: </w:t>
      </w:r>
    </w:p>
    <w:p w:rsidR="006D6C88" w:rsidRDefault="006D6C88" w:rsidP="006D6C88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1 bankarsku garanciju ukupne vrijednosti 74.000,00 eura</w:t>
      </w:r>
    </w:p>
    <w:p w:rsidR="006D6C88" w:rsidRDefault="006D6C88" w:rsidP="006D6C88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1 bjanko zadužnicu ukupne vrijednosti 75.000,00 euro</w:t>
      </w:r>
    </w:p>
    <w:p w:rsidR="006D6C88" w:rsidRDefault="006D6C88" w:rsidP="006D6C88">
      <w:pPr>
        <w:rPr>
          <w:rFonts w:cstheme="minorBidi"/>
        </w:rPr>
      </w:pPr>
    </w:p>
    <w:p w:rsidR="006D6C88" w:rsidRDefault="006D6C88"/>
    <w:p w:rsidR="000F206B" w:rsidRDefault="00E433E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136.743,80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Promjene u vrijednosti i obujmu imovine (smanjenje) u iznosu </w:t>
      </w:r>
      <w:proofErr w:type="gramStart"/>
      <w:r>
        <w:t>od</w:t>
      </w:r>
      <w:proofErr w:type="gramEnd"/>
      <w:r>
        <w:t xml:space="preserve"> 136.743,80 eura rezultat su knjiženja rashodovanja nefinancijske imovine sukladno Odlukama o rashodu i isknjiženju imovine koje su se provodile unutar ove godine te evidentirani obračun ispravka vrijednosti dugotrajne nefinancijske imovine za 2025. </w:t>
      </w:r>
      <w:proofErr w:type="gramStart"/>
      <w:r>
        <w:t>godinu</w:t>
      </w:r>
      <w:proofErr w:type="gramEnd"/>
      <w:r>
        <w:t>.</w:t>
      </w:r>
    </w:p>
    <w:p w:rsidR="000F206B" w:rsidRDefault="00E433ED">
      <w:r>
        <w:t> </w:t>
      </w:r>
    </w:p>
    <w:p w:rsidR="000F206B" w:rsidRDefault="00E433ED">
      <w:r>
        <w:t> </w:t>
      </w:r>
    </w:p>
    <w:p w:rsidR="000F206B" w:rsidRDefault="00E433ED">
      <w:pPr>
        <w:keepNext/>
        <w:spacing w:line="240" w:lineRule="auto"/>
        <w:jc w:val="center"/>
      </w:pPr>
      <w:bookmarkStart w:id="0" w:name="_GoBack"/>
      <w:bookmarkEnd w:id="0"/>
      <w:r>
        <w:rPr>
          <w:b/>
          <w:sz w:val="28"/>
        </w:rPr>
        <w:t>Izvještaj o obvezama</w:t>
      </w:r>
    </w:p>
    <w:p w:rsidR="000F206B" w:rsidRDefault="00E433E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 xml:space="preserve">Dospjele obveze čine obveze za materijalne rashode u iznosu </w:t>
      </w:r>
      <w:proofErr w:type="gramStart"/>
      <w:r>
        <w:t>od</w:t>
      </w:r>
      <w:proofErr w:type="gramEnd"/>
      <w:r>
        <w:t xml:space="preserve"> 5.094,40 eura (režijski trošak plina za studeni, službeni put zaposlenika, trošak liječničkih pregleda vozača) te obveze za nabavu nefinacijske imovine (dobava i ugradnja reflektora na krovu) u iznosu od 4.452,50 eura nastale sa prekoračenjem do 60 dana. Dospjele obveze bit </w:t>
      </w:r>
      <w:proofErr w:type="gramStart"/>
      <w:r>
        <w:t>će</w:t>
      </w:r>
      <w:proofErr w:type="gramEnd"/>
      <w:r>
        <w:t xml:space="preserve"> podmirene u narednom razdoblju 2026. </w:t>
      </w:r>
      <w:proofErr w:type="gramStart"/>
      <w:r>
        <w:t>godine</w:t>
      </w:r>
      <w:proofErr w:type="gramEnd"/>
      <w:r>
        <w:t>.</w:t>
      </w:r>
    </w:p>
    <w:p w:rsidR="000F206B" w:rsidRDefault="00E433ED">
      <w:r>
        <w:t> </w:t>
      </w:r>
    </w:p>
    <w:p w:rsidR="000F206B" w:rsidRDefault="000F206B"/>
    <w:p w:rsidR="000F206B" w:rsidRDefault="00E433ED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206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206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0F20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490.020,71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F206B" w:rsidRDefault="00E433E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F206B" w:rsidRDefault="000F206B">
      <w:pPr>
        <w:spacing w:after="0"/>
      </w:pPr>
    </w:p>
    <w:p w:rsidR="000F206B" w:rsidRDefault="00E433ED">
      <w:pPr>
        <w:jc w:val="both"/>
      </w:pPr>
      <w:r>
        <w:t>Nedospjele obveze u iznosu 490.020,71 eura čine međusobne obveze za povrat u nadležni proračun s osnove povrata potraživanja za bolovanje u iznosu 8.305,82 eura, te s osnova povrata zaposlenika u nadležni proračun u iznosu od 489</w:t>
      </w:r>
      <w:proofErr w:type="gramStart"/>
      <w:r>
        <w:t>,98</w:t>
      </w:r>
      <w:proofErr w:type="gramEnd"/>
      <w:r>
        <w:t xml:space="preserve"> eura, zatim obveza za rashode poslovanja u iznosu od 466.830,61 eura, a najvećim dijelom se odnose na plaće koje će se isplatiti u siječnju 2026. </w:t>
      </w:r>
      <w:proofErr w:type="gramStart"/>
      <w:r>
        <w:t>godine</w:t>
      </w:r>
      <w:proofErr w:type="gramEnd"/>
      <w:r>
        <w:t xml:space="preserve"> i naknadu štete s naslova gubitka uzdržavanja i pomaganja temeljem sudske nagodbe za prosinac 2025. </w:t>
      </w:r>
      <w:proofErr w:type="gramStart"/>
      <w:r>
        <w:t>godine</w:t>
      </w:r>
      <w:proofErr w:type="gramEnd"/>
      <w:r>
        <w:t xml:space="preserve"> te obveza za nabavu nefinancijske imovine u iznosu od 14.394,30 eura.</w:t>
      </w:r>
    </w:p>
    <w:p w:rsidR="000F206B" w:rsidRDefault="000F206B"/>
    <w:sectPr w:rsidR="000F20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23D76"/>
    <w:multiLevelType w:val="hybridMultilevel"/>
    <w:tmpl w:val="48A67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6B"/>
    <w:rsid w:val="000F206B"/>
    <w:rsid w:val="002038EA"/>
    <w:rsid w:val="006D6C88"/>
    <w:rsid w:val="00E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57058-2671-4122-B337-FF967C07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Kukuljan Ljiljana</dc:creator>
  <cp:lastModifiedBy>Kukuljan Ljiljana</cp:lastModifiedBy>
  <cp:revision>6</cp:revision>
  <dcterms:created xsi:type="dcterms:W3CDTF">2026-01-28T14:56:00Z</dcterms:created>
  <dcterms:modified xsi:type="dcterms:W3CDTF">2026-01-28T15:11:00Z</dcterms:modified>
</cp:coreProperties>
</file>